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32" w:lineRule="auto"/>
        <w:jc w:val="center"/>
        <w:rPr>
          <w:rFonts w:hint="eastAsia" w:ascii="楷体_GB2312" w:eastAsia="楷体_GB2312"/>
          <w:b/>
          <w:bCs/>
          <w:sz w:val="32"/>
          <w:szCs w:val="32"/>
        </w:rPr>
      </w:pPr>
      <w:bookmarkStart w:id="0" w:name="_GoBack"/>
      <w:bookmarkEnd w:id="0"/>
      <w:r>
        <w:rPr>
          <w:rFonts w:ascii="楷体_GB2312" w:eastAsia="楷体_GB2312"/>
          <w:b/>
          <w:bCs/>
          <w:sz w:val="32"/>
          <w:szCs w:val="32"/>
        </w:rPr>
        <w:t>201</w:t>
      </w:r>
      <w:r>
        <w:rPr>
          <w:rFonts w:hint="eastAsia" w:ascii="楷体_GB2312" w:eastAsia="楷体_GB2312"/>
          <w:b/>
          <w:bCs/>
          <w:sz w:val="32"/>
          <w:szCs w:val="32"/>
          <w:lang w:val="en-US" w:eastAsia="zh-CN"/>
        </w:rPr>
        <w:t>7</w:t>
      </w:r>
      <w:r>
        <w:rPr>
          <w:rFonts w:ascii="楷体_GB2312" w:eastAsia="楷体_GB2312"/>
          <w:b/>
          <w:bCs/>
          <w:sz w:val="32"/>
          <w:szCs w:val="32"/>
        </w:rPr>
        <w:t>-201</w:t>
      </w:r>
      <w:r>
        <w:rPr>
          <w:rFonts w:hint="eastAsia" w:ascii="楷体_GB2312" w:eastAsia="楷体_GB2312"/>
          <w:b/>
          <w:bCs/>
          <w:sz w:val="32"/>
          <w:szCs w:val="32"/>
          <w:lang w:val="en-US" w:eastAsia="zh-CN"/>
        </w:rPr>
        <w:t>8</w:t>
      </w:r>
      <w:r>
        <w:rPr>
          <w:rFonts w:hint="eastAsia" w:ascii="楷体_GB2312" w:eastAsia="楷体_GB2312"/>
          <w:b/>
          <w:bCs/>
          <w:sz w:val="32"/>
          <w:szCs w:val="32"/>
        </w:rPr>
        <w:t>学年第</w:t>
      </w:r>
      <w:r>
        <w:rPr>
          <w:rFonts w:hint="eastAsia" w:ascii="楷体_GB2312" w:eastAsia="楷体_GB2312"/>
          <w:b/>
          <w:bCs/>
          <w:sz w:val="32"/>
          <w:szCs w:val="32"/>
          <w:lang w:val="en-US" w:eastAsia="zh-CN"/>
        </w:rPr>
        <w:t>2</w:t>
      </w:r>
      <w:r>
        <w:rPr>
          <w:rFonts w:hint="eastAsia" w:ascii="楷体_GB2312" w:eastAsia="楷体_GB2312"/>
          <w:b/>
          <w:bCs/>
          <w:sz w:val="32"/>
          <w:szCs w:val="32"/>
        </w:rPr>
        <w:t>学期《</w:t>
      </w:r>
      <w:r>
        <w:rPr>
          <w:b/>
          <w:bCs/>
          <w:sz w:val="28"/>
          <w:szCs w:val="28"/>
        </w:rPr>
        <w:t>毛泽东思想和中国特色社会主义理论体系</w:t>
      </w:r>
      <w:r>
        <w:rPr>
          <w:rFonts w:hint="eastAsia" w:ascii="楷体_GB2312" w:eastAsia="楷体_GB2312"/>
          <w:b/>
          <w:bCs/>
          <w:sz w:val="32"/>
          <w:szCs w:val="32"/>
        </w:rPr>
        <w:t>概论》课社会实践教学实施方案</w:t>
      </w:r>
    </w:p>
    <w:p>
      <w:pPr>
        <w:spacing w:line="432" w:lineRule="auto"/>
        <w:jc w:val="center"/>
        <w:rPr>
          <w:rFonts w:hint="eastAsia" w:ascii="楷体_GB2312" w:eastAsia="楷体_GB2312"/>
          <w:b/>
          <w:bCs/>
          <w:sz w:val="32"/>
          <w:szCs w:val="32"/>
        </w:rPr>
      </w:pPr>
      <w:r>
        <w:rPr>
          <w:rFonts w:hint="eastAsia" w:ascii="楷体_GB2312" w:eastAsia="楷体_GB2312"/>
          <w:b/>
          <w:bCs/>
          <w:sz w:val="32"/>
          <w:szCs w:val="32"/>
        </w:rPr>
        <w:t>（本科学生使用）</w:t>
      </w:r>
    </w:p>
    <w:p>
      <w:pPr>
        <w:spacing w:line="400" w:lineRule="exact"/>
        <w:ind w:firstLine="480" w:firstLineChars="200"/>
        <w:jc w:val="left"/>
        <w:rPr>
          <w:rFonts w:hint="eastAsia" w:ascii="宋体" w:hAnsi="宋体" w:eastAsia="宋体" w:cs="宋体"/>
          <w:b/>
          <w:bCs/>
          <w:sz w:val="24"/>
          <w:szCs w:val="24"/>
        </w:rPr>
      </w:pPr>
      <w:r>
        <w:rPr>
          <w:rFonts w:hint="eastAsia" w:ascii="宋体" w:hAnsi="宋体" w:eastAsia="宋体" w:cs="宋体"/>
          <w:sz w:val="24"/>
          <w:szCs w:val="24"/>
        </w:rPr>
        <w:t>为切实改进学校思想政治理论课教育教学的方式和方法，加强实践教学环节，通过社会实践活动，进一步提高学生思想政治素质和观察分析社会现象的能力，提升教学效果。特制定内江师范学201</w:t>
      </w:r>
      <w:r>
        <w:rPr>
          <w:rFonts w:hint="eastAsia" w:ascii="宋体" w:hAnsi="宋体" w:eastAsia="宋体" w:cs="宋体"/>
          <w:sz w:val="24"/>
          <w:szCs w:val="24"/>
          <w:lang w:val="en-US" w:eastAsia="zh-CN"/>
        </w:rPr>
        <w:t>7</w:t>
      </w:r>
      <w:r>
        <w:rPr>
          <w:rFonts w:hint="eastAsia" w:ascii="宋体" w:hAnsi="宋体" w:eastAsia="宋体" w:cs="宋体"/>
          <w:sz w:val="24"/>
          <w:szCs w:val="24"/>
        </w:rPr>
        <w:t>-201</w:t>
      </w:r>
      <w:r>
        <w:rPr>
          <w:rFonts w:hint="eastAsia" w:ascii="宋体" w:hAnsi="宋体" w:eastAsia="宋体" w:cs="宋体"/>
          <w:sz w:val="24"/>
          <w:szCs w:val="24"/>
          <w:lang w:val="en-US" w:eastAsia="zh-CN"/>
        </w:rPr>
        <w:t>8</w:t>
      </w:r>
      <w:r>
        <w:rPr>
          <w:rFonts w:hint="eastAsia" w:ascii="宋体" w:hAnsi="宋体" w:eastAsia="宋体" w:cs="宋体"/>
          <w:sz w:val="24"/>
          <w:szCs w:val="24"/>
        </w:rPr>
        <w:t>学年第</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学期概论课社会实践实施方案。  </w:t>
      </w:r>
    </w:p>
    <w:p>
      <w:pPr>
        <w:spacing w:line="4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一、教学目的</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思想政治理论课课外社会实践教学环节是思想政治理论课教学的重要组成部分，其根本目的和任务是引导大学生理论联系实际，提高大学生关注社会、关注现实的热情和能力，使学生在社会实践活动中受教育、长才干、作贡献，增强社会责任感，帮助学生通过社会实践加深对课堂教学中所学理论知识的理解，在实践考察和调研中培养和巩固科学的世界观、正确的人生观、价值观和道德观、法制观，增强培养良好思想品德的自觉性，锻炼和提高分析问题、解决问题的能力，紧密结合思想政治理论课的基本内容和课程特点，在思想政治理论课教师指导下，组织所有上《毛泽东思想和中国特色社会主义理论体系概论》的学生进行社会调查或参观访问，通过调研活动提高大学生理论联系实际的能力和团队协作精神，增强思想政治理论课的实效性和针对性。</w:t>
      </w:r>
    </w:p>
    <w:p>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二、参加人员</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所有上《毛泽东思想和中国特色社会主义理论体系概论》的全体本科学生</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79" w:firstLineChars="199"/>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三、实践类别及要求。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b/>
          <w:bCs/>
          <w:color w:val="FF0000"/>
          <w:sz w:val="24"/>
          <w:szCs w:val="24"/>
        </w:rPr>
      </w:pPr>
      <w:r>
        <w:rPr>
          <w:rFonts w:hint="eastAsia" w:ascii="宋体" w:hAnsi="宋体" w:eastAsia="宋体" w:cs="宋体"/>
          <w:b/>
          <w:bCs/>
          <w:color w:val="FF0000"/>
          <w:sz w:val="24"/>
          <w:szCs w:val="24"/>
        </w:rPr>
        <w:t>（一）接力朗读《习近平谈治国理政》（二）（2017年版）（20分）（上课班全体同学参与）</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中共十八大以来，以习近平同志为核心的中共中央，团结带领全党全国各族人民，紧紧围绕实现“两个一百年”奋斗目标和中华民族伟大复兴的中国梦，坚持和发展中国特色社会主义，统筹推进“五位一体”总体布局、协调推进“四个全面”战略布局，迎难而上，开拓进取，取得了改革开放和社会主义现代化建设的历史性成就，解决了许多长期想解决而没有解决的难题，办成了许多过去想办而没有办成的大事，推动中国共产党和国家事业取得了历史性成就、发生了历史性变革，中国特色社会主义进入新时代。</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为深入学习习近平同志系列重要讲话，贯彻党的十九大会议精神，深入领悟习近平新时代中国特色社会主义思想的精神实质和丰富内涵，组织全体同学接力朗读《习近平谈治国理政》（二）（2017年版）。</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具体要求：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每个班的学习委员和班长负责申请建一个朗读《习近平谈治国理政》（二）微信公号（内江师范学院***学院***班级接力朗读《习近平谈治国理政》（二）录音），作为推送每位同学的朗读录音的平台。注意，此公号平台只推送全体同学朗读《习近平谈治国理政》（二）录音，不得推送与朗读录音无关的内容。各班班长和学习委员负责推送和管理维护，科任教师监督审核。</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color w:val="FF0000"/>
          <w:sz w:val="24"/>
          <w:szCs w:val="24"/>
        </w:rPr>
        <w:t>2、每位同学参与接力朗读《习近平谈治国理政》（二）的一部分内容（具体朗读哪部分内容由各班学习委员或任课教师分任务），并录音，由班学习委员</w:t>
      </w:r>
      <w:r>
        <w:rPr>
          <w:rFonts w:hint="eastAsia" w:ascii="宋体" w:hAnsi="宋体" w:eastAsia="宋体" w:cs="宋体"/>
          <w:color w:val="FF0000"/>
          <w:sz w:val="24"/>
          <w:szCs w:val="24"/>
          <w:lang w:eastAsia="zh-CN"/>
        </w:rPr>
        <w:t>或</w:t>
      </w:r>
      <w:r>
        <w:rPr>
          <w:rFonts w:hint="eastAsia" w:ascii="宋体" w:hAnsi="宋体" w:eastAsia="宋体" w:cs="宋体"/>
          <w:color w:val="FF0000"/>
          <w:sz w:val="24"/>
          <w:szCs w:val="24"/>
        </w:rPr>
        <w:t>班长按朗读</w:t>
      </w:r>
      <w:r>
        <w:rPr>
          <w:rFonts w:hint="eastAsia" w:ascii="宋体" w:hAnsi="宋体" w:eastAsia="宋体" w:cs="宋体"/>
          <w:color w:val="FF0000"/>
          <w:sz w:val="24"/>
          <w:szCs w:val="24"/>
          <w:lang w:eastAsia="zh-CN"/>
        </w:rPr>
        <w:t>内容的先后</w:t>
      </w:r>
      <w:r>
        <w:rPr>
          <w:rFonts w:hint="eastAsia" w:ascii="宋体" w:hAnsi="宋体" w:eastAsia="宋体" w:cs="宋体"/>
          <w:color w:val="FF0000"/>
          <w:sz w:val="24"/>
          <w:szCs w:val="24"/>
        </w:rPr>
        <w:t>秩序每天推送2--4位同学的录音至班朗读《习近平谈治国理政》（二）微信公号。要求每位同学要完成录音并附上近照一张及简介，以及所朗读的内容的文档（可复制电子书内容），然后交与班学习委员或班长推送。希望每位同学每天关注推出的同学朗读《习近平治国理政》（二）的录音和内容。科任教师也要同时关注每个同学的朗读，作为给分凭据。</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3、希望每位同学在认真阅读理解内容精神的基础上，带着饱满激情朗读《习近平谈治国理政》（二）。</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4、提交时间：从方案公布时起开始实施，陆续推送录音，直到推送完为止。 </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b/>
          <w:bCs/>
          <w:color w:val="FF0000"/>
          <w:sz w:val="24"/>
          <w:szCs w:val="24"/>
        </w:rPr>
      </w:pPr>
      <w:r>
        <w:rPr>
          <w:rFonts w:hint="eastAsia" w:ascii="宋体" w:hAnsi="宋体" w:eastAsia="宋体" w:cs="宋体"/>
          <w:b/>
          <w:bCs/>
          <w:color w:val="FF0000"/>
          <w:sz w:val="24"/>
          <w:szCs w:val="24"/>
        </w:rPr>
        <w:t>（二）撰写情景剧剧本并表演制作成VCR（学生以小组形式全体参与）（30分）</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组织所有上《毛泽东思想和中国特色社会主义理论体系概论》的学生进行以学习贯彻党的十九大精神为主题（或弘扬和宣传“社会主义核心价值观”、保护生态环境、和谐社会建设、精准扶贫、社会热点，大学生活等为主题）的情景剧表演活动。</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具体要求：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1、各班以5—10人为一组，选出组长负责。</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各组围绕主题，自拟题目，写一个5—10分钟的剧本，编剧及表演，并拍摄成VCR。剧本撰写原则①客观真实。撰写剧本要坚持实事求是，反对弄虚作假，一旦发现有弄虚作假的行为，全组成员实践成绩考核为0分。②剧本应该结构严谨、层次清晰、文理通顺、行文规范、书写工整，用A4纸打印。</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3、上交材料和时间：上交剧本（纸质word文档，A4纸打印）和表演的VCR。上交时间：第12周交。</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（三）开展社会调查，撰写调研报告（学生以小组形式全体参与）（50分）</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组织所有上《毛泽东思想和中国特色社会主义理论体系概论》的学生围绕主题“十九大与改革开放四十年”或自己感兴趣的社会问题完成一个社会调查，撰写调研报告。具体调查题目自拟。（注：各调查组题目确定后交学习委员或老师统筹，各组题目最好不要有重复）。</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具体要求：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1、原则上在自然班以10人为一组分成若干调研组，每组成员在小组长的组织下共同完成一项调研及撰写调研报告。</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2、社会实践调研报告的具体要求：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(1）调查原则</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①客观真实。撰写实践调研报告要坚持实事求是，反对弄虚作假，一旦发现有弄虚作假的行为，实践报告考核为0分。</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②社会实践调研报告应该结构严谨、层次清晰、文理通顺、行文规范、书写工整，用A4纸打印。</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③调研报告应该有自己独立的论点，有充分的资料，其中一半以上的资料必须来源于自己调查的第一手实证资料，引用他人资料必须注释。</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(2）字数要求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社会调查报告的撰写不少于3000字。</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（3）提交材料及提交时间</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①交调查的原始材料，如照片、调查问卷表或访谈音频等</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②提交调研报告（包括纸质和word文档）</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③提交时间：第16周</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3、附调研报告模板：</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p>
    <w:p>
      <w:pPr>
        <w:keepNext w:val="0"/>
        <w:keepLines w:val="0"/>
        <w:widowControl/>
        <w:suppressLineNumbers w:val="0"/>
        <w:shd w:val="clear" w:color="auto" w:fill="FFFFFF"/>
        <w:spacing w:before="0" w:beforeAutospacing="0" w:after="0" w:afterAutospacing="0" w:line="375" w:lineRule="atLeast"/>
        <w:ind w:left="0" w:right="0"/>
        <w:jc w:val="left"/>
        <w:rPr>
          <w:rFonts w:hint="eastAsia" w:ascii="宋体" w:hAnsi="宋体" w:eastAsia="宋体" w:cs="宋体"/>
          <w:sz w:val="24"/>
          <w:szCs w:val="24"/>
        </w:rPr>
      </w:pPr>
    </w:p>
    <w:p>
      <w:pPr>
        <w:keepNext w:val="0"/>
        <w:keepLines w:val="0"/>
        <w:widowControl/>
        <w:suppressLineNumbers w:val="0"/>
        <w:shd w:val="clear" w:color="auto" w:fill="FFFFFF"/>
        <w:spacing w:before="0" w:beforeAutospacing="0" w:after="0" w:afterAutospacing="0" w:line="375" w:lineRule="atLeast"/>
        <w:ind w:left="0" w:right="0"/>
        <w:jc w:val="left"/>
        <w:rPr>
          <w:rFonts w:hint="eastAsia" w:ascii="宋体" w:hAnsi="宋体" w:eastAsia="宋体" w:cs="宋体"/>
          <w:sz w:val="24"/>
          <w:szCs w:val="24"/>
        </w:rPr>
      </w:pPr>
    </w:p>
    <w:p>
      <w:pPr>
        <w:keepNext w:val="0"/>
        <w:keepLines w:val="0"/>
        <w:widowControl/>
        <w:suppressLineNumbers w:val="0"/>
        <w:shd w:val="clear" w:color="auto" w:fill="FFFFFF"/>
        <w:spacing w:before="0" w:beforeAutospacing="0" w:after="0" w:afterAutospacing="0" w:line="375" w:lineRule="atLeast"/>
        <w:ind w:left="0" w:right="0"/>
        <w:jc w:val="left"/>
        <w:rPr>
          <w:rFonts w:hint="eastAsia" w:ascii="宋体" w:hAnsi="宋体" w:eastAsia="宋体" w:cs="宋体"/>
          <w:sz w:val="24"/>
          <w:szCs w:val="24"/>
        </w:rPr>
      </w:pPr>
    </w:p>
    <w:p>
      <w:pPr>
        <w:keepNext w:val="0"/>
        <w:keepLines w:val="0"/>
        <w:widowControl/>
        <w:suppressLineNumbers w:val="0"/>
        <w:shd w:val="clear" w:color="auto" w:fill="FFFFFF"/>
        <w:spacing w:before="0" w:beforeAutospacing="0" w:after="0" w:afterAutospacing="0" w:line="375" w:lineRule="atLeast"/>
        <w:ind w:left="0" w:right="0"/>
        <w:jc w:val="left"/>
        <w:rPr>
          <w:rFonts w:hint="eastAsia" w:ascii="宋体" w:hAnsi="宋体" w:eastAsia="宋体" w:cs="宋体"/>
          <w:sz w:val="24"/>
          <w:szCs w:val="24"/>
        </w:rPr>
      </w:pPr>
    </w:p>
    <w:p>
      <w:pPr>
        <w:keepNext w:val="0"/>
        <w:keepLines w:val="0"/>
        <w:widowControl/>
        <w:suppressLineNumbers w:val="0"/>
        <w:shd w:val="clear" w:color="auto" w:fill="FFFFFF"/>
        <w:spacing w:before="0" w:beforeAutospacing="0" w:after="0" w:afterAutospacing="0" w:line="375" w:lineRule="atLeast"/>
        <w:ind w:left="0" w:right="0"/>
        <w:jc w:val="left"/>
      </w:pPr>
    </w:p>
    <w:p>
      <w:pPr>
        <w:keepNext w:val="0"/>
        <w:keepLines w:val="0"/>
        <w:widowControl/>
        <w:suppressLineNumbers w:val="0"/>
        <w:shd w:val="clear" w:color="auto" w:fill="FFFFFF"/>
        <w:spacing w:before="0" w:beforeAutospacing="0" w:after="0" w:afterAutospacing="0" w:line="375" w:lineRule="atLeast"/>
        <w:ind w:left="0" w:right="0"/>
        <w:jc w:val="left"/>
      </w:pPr>
    </w:p>
    <w:p>
      <w:pPr>
        <w:keepNext w:val="0"/>
        <w:keepLines w:val="0"/>
        <w:widowControl/>
        <w:suppressLineNumbers w:val="0"/>
        <w:shd w:val="clear" w:color="auto" w:fill="FFFFFF"/>
        <w:spacing w:before="0" w:beforeAutospacing="0" w:after="0" w:afterAutospacing="0" w:line="375" w:lineRule="atLeast"/>
        <w:ind w:left="0" w:right="0"/>
        <w:jc w:val="left"/>
      </w:pPr>
    </w:p>
    <w:p>
      <w:pPr>
        <w:keepNext w:val="0"/>
        <w:keepLines w:val="0"/>
        <w:widowControl/>
        <w:suppressLineNumbers w:val="0"/>
        <w:shd w:val="clear" w:color="auto" w:fill="FFFFFF"/>
        <w:spacing w:before="0" w:beforeAutospacing="0" w:after="0" w:afterAutospacing="0" w:line="375" w:lineRule="atLeast"/>
        <w:ind w:left="0" w:right="0"/>
        <w:jc w:val="left"/>
      </w:pPr>
    </w:p>
    <w:p>
      <w:pPr>
        <w:keepNext w:val="0"/>
        <w:keepLines w:val="0"/>
        <w:widowControl/>
        <w:suppressLineNumbers w:val="0"/>
        <w:shd w:val="clear" w:color="auto" w:fill="FFFFFF"/>
        <w:spacing w:before="0" w:beforeAutospacing="0" w:after="0" w:afterAutospacing="0" w:line="375" w:lineRule="atLeast"/>
        <w:ind w:left="0" w:right="0"/>
        <w:jc w:val="left"/>
      </w:pPr>
    </w:p>
    <w:p>
      <w:pPr>
        <w:keepNext w:val="0"/>
        <w:keepLines w:val="0"/>
        <w:widowControl/>
        <w:suppressLineNumbers w:val="0"/>
        <w:shd w:val="clear" w:color="auto" w:fill="FFFFFF"/>
        <w:spacing w:before="0" w:beforeAutospacing="0" w:after="0" w:afterAutospacing="0" w:line="375" w:lineRule="atLeast"/>
        <w:ind w:left="0" w:right="0"/>
        <w:jc w:val="left"/>
      </w:pPr>
    </w:p>
    <w:p>
      <w:pPr>
        <w:keepNext w:val="0"/>
        <w:keepLines w:val="0"/>
        <w:widowControl/>
        <w:suppressLineNumbers w:val="0"/>
        <w:shd w:val="clear" w:color="auto" w:fill="FFFFFF"/>
        <w:spacing w:before="0" w:beforeAutospacing="0" w:after="0" w:afterAutospacing="0" w:line="375" w:lineRule="atLeast"/>
        <w:ind w:left="0" w:right="0"/>
        <w:jc w:val="left"/>
      </w:pPr>
    </w:p>
    <w:p>
      <w:pPr>
        <w:keepNext w:val="0"/>
        <w:keepLines w:val="0"/>
        <w:widowControl/>
        <w:suppressLineNumbers w:val="0"/>
        <w:shd w:val="clear" w:color="auto" w:fill="FFFFFF"/>
        <w:spacing w:before="0" w:beforeAutospacing="0" w:after="0" w:afterAutospacing="0" w:line="375" w:lineRule="atLeast"/>
        <w:ind w:left="0" w:right="0"/>
        <w:jc w:val="left"/>
      </w:pPr>
    </w:p>
    <w:p>
      <w:pPr>
        <w:keepNext w:val="0"/>
        <w:keepLines w:val="0"/>
        <w:widowControl/>
        <w:suppressLineNumbers w:val="0"/>
        <w:shd w:val="clear" w:color="auto" w:fill="FFFFFF"/>
        <w:spacing w:before="0" w:beforeAutospacing="0" w:after="0" w:afterAutospacing="0" w:line="375" w:lineRule="atLeast"/>
        <w:ind w:left="0" w:right="0"/>
        <w:jc w:val="left"/>
      </w:pPr>
    </w:p>
    <w:tbl>
      <w:tblPr>
        <w:tblStyle w:val="3"/>
        <w:tblpPr w:leftFromText="180" w:rightFromText="180" w:topFromText="100" w:bottomFromText="100" w:vertAnchor="text" w:tblpXSpec="right" w:tblpYSpec="center"/>
        <w:tblW w:w="2808" w:type="dxa"/>
        <w:tblInd w:w="0" w:type="dxa"/>
        <w:tblLayout w:type="fixed"/>
        <w:tblCellMar>
          <w:top w:w="0" w:type="dxa"/>
          <w:left w:w="0" w:type="dxa"/>
          <w:bottom w:w="0" w:type="dxa"/>
          <w:right w:w="0" w:type="dxa"/>
        </w:tblCellMar>
      </w:tblPr>
      <w:tblGrid>
        <w:gridCol w:w="1188"/>
        <w:gridCol w:w="1620"/>
      </w:tblGrid>
      <w:tr>
        <w:tblPrEx>
          <w:tblLayout w:type="fixed"/>
          <w:tblCellMar>
            <w:top w:w="0" w:type="dxa"/>
            <w:left w:w="0" w:type="dxa"/>
            <w:bottom w:w="0" w:type="dxa"/>
            <w:right w:w="0" w:type="dxa"/>
          </w:tblCellMar>
        </w:tblPrEx>
        <w:trPr>
          <w:trHeight w:val="604" w:hRule="atLeast"/>
        </w:trPr>
        <w:tc>
          <w:tcPr>
            <w:tcW w:w="1188" w:type="dxa"/>
            <w:tcBorders>
              <w:top w:val="single" w:color="auto" w:sz="12" w:space="0"/>
              <w:left w:val="single" w:color="auto" w:sz="12" w:space="0"/>
              <w:bottom w:val="single" w:color="auto" w:sz="12" w:space="0"/>
              <w:right w:val="single" w:color="auto" w:sz="12" w:space="0"/>
            </w:tcBorders>
            <w:tcMar>
              <w:left w:w="108" w:type="dxa"/>
              <w:right w:w="108" w:type="dxa"/>
            </w:tcMar>
            <w:vAlign w:val="center"/>
          </w:tcPr>
          <w:p>
            <w:pPr>
              <w:keepNext w:val="0"/>
              <w:keepLines w:val="0"/>
              <w:widowControl/>
              <w:suppressLineNumbers w:val="0"/>
              <w:spacing w:before="0" w:beforeAutospacing="0" w:after="0" w:afterAutospacing="0" w:line="300" w:lineRule="atLeast"/>
              <w:ind w:left="0" w:right="0"/>
              <w:jc w:val="center"/>
            </w:pPr>
            <w:r>
              <w:rPr>
                <w:rFonts w:ascii="宋体" w:hAnsi="宋体" w:cs="宋体"/>
                <w:b/>
                <w:kern w:val="0"/>
                <w:sz w:val="24"/>
                <w:szCs w:val="24"/>
                <w:lang w:val="en-US" w:eastAsia="zh-CN" w:bidi="ar"/>
              </w:rPr>
              <w:t>评定成绩</w:t>
            </w:r>
          </w:p>
        </w:tc>
        <w:tc>
          <w:tcPr>
            <w:tcW w:w="1620" w:type="dxa"/>
            <w:tcBorders>
              <w:top w:val="single" w:color="auto" w:sz="12" w:space="0"/>
              <w:left w:val="nil"/>
              <w:bottom w:val="single" w:color="auto" w:sz="12" w:space="0"/>
              <w:right w:val="single" w:color="auto" w:sz="12" w:space="0"/>
            </w:tcBorders>
            <w:tcMar>
              <w:left w:w="108" w:type="dxa"/>
              <w:right w:w="108" w:type="dxa"/>
            </w:tcMar>
            <w:vAlign w:val="center"/>
          </w:tcPr>
          <w:p>
            <w:pPr>
              <w:keepNext w:val="0"/>
              <w:keepLines w:val="0"/>
              <w:widowControl/>
              <w:suppressLineNumbers w:val="0"/>
              <w:spacing w:before="0" w:beforeAutospacing="0" w:after="0" w:afterAutospacing="0" w:line="300" w:lineRule="atLeast"/>
              <w:ind w:left="0" w:right="0"/>
              <w:jc w:val="center"/>
            </w:pPr>
            <w:r>
              <w:rPr>
                <w:rFonts w:ascii="宋体" w:hAnsi="宋体" w:cs="宋体"/>
                <w:b/>
                <w:kern w:val="0"/>
                <w:sz w:val="24"/>
                <w:szCs w:val="24"/>
                <w:lang w:val="en-US" w:eastAsia="zh-CN" w:bidi="ar"/>
              </w:rPr>
              <w:t> </w:t>
            </w:r>
          </w:p>
          <w:p>
            <w:pPr>
              <w:keepNext w:val="0"/>
              <w:keepLines w:val="0"/>
              <w:widowControl/>
              <w:suppressLineNumbers w:val="0"/>
              <w:spacing w:before="0" w:beforeAutospacing="0" w:after="0" w:afterAutospacing="0" w:line="300" w:lineRule="atLeast"/>
              <w:ind w:left="0" w:right="0"/>
              <w:jc w:val="center"/>
            </w:pPr>
            <w:r>
              <w:rPr>
                <w:rFonts w:ascii="宋体" w:hAnsi="宋体" w:cs="宋体"/>
                <w:b/>
                <w:kern w:val="0"/>
                <w:sz w:val="24"/>
                <w:szCs w:val="24"/>
                <w:lang w:val="en-US" w:eastAsia="zh-CN" w:bidi="ar"/>
              </w:rPr>
              <w:t> </w:t>
            </w:r>
          </w:p>
        </w:tc>
      </w:tr>
    </w:tbl>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b/>
          <w:kern w:val="0"/>
          <w:sz w:val="24"/>
          <w:szCs w:val="24"/>
          <w:shd w:val="clear" w:color="auto" w:fill="FFFFFF"/>
          <w:lang w:val="en-US" w:eastAsia="zh-CN" w:bidi="ar"/>
        </w:rPr>
        <w:t xml:space="preserve">                               </w:t>
      </w:r>
    </w:p>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b/>
          <w:kern w:val="0"/>
          <w:sz w:val="24"/>
          <w:szCs w:val="24"/>
          <w:shd w:val="clear" w:color="auto" w:fill="FFFFFF"/>
          <w:lang w:val="en-US" w:eastAsia="zh-CN" w:bidi="ar"/>
        </w:rPr>
        <w:t>《</w:t>
      </w:r>
      <w:r>
        <w:rPr>
          <w:b/>
          <w:bCs/>
          <w:sz w:val="24"/>
          <w:szCs w:val="24"/>
        </w:rPr>
        <w:t>毛泽东思想和中国特色社会主义理论体系</w:t>
      </w:r>
      <w:r>
        <w:rPr>
          <w:rFonts w:ascii="宋体" w:hAnsi="宋体" w:cs="宋体"/>
          <w:b/>
          <w:bCs/>
          <w:kern w:val="0"/>
          <w:sz w:val="24"/>
          <w:szCs w:val="24"/>
          <w:shd w:val="clear" w:color="auto" w:fill="FFFFFF"/>
          <w:lang w:val="en-US" w:eastAsia="zh-CN" w:bidi="ar"/>
        </w:rPr>
        <w:t>概论</w:t>
      </w:r>
      <w:r>
        <w:rPr>
          <w:rFonts w:ascii="宋体" w:hAnsi="宋体" w:cs="宋体"/>
          <w:b/>
          <w:kern w:val="0"/>
          <w:sz w:val="24"/>
          <w:szCs w:val="24"/>
          <w:shd w:val="clear" w:color="auto" w:fill="FFFFFF"/>
          <w:lang w:val="en-US" w:eastAsia="zh-CN" w:bidi="ar"/>
        </w:rPr>
        <w:t>》</w:t>
      </w:r>
    </w:p>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b/>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b/>
          <w:kern w:val="0"/>
          <w:sz w:val="24"/>
          <w:szCs w:val="24"/>
          <w:shd w:val="clear" w:color="auto" w:fill="FFFFFF"/>
          <w:lang w:val="en-US" w:eastAsia="zh-CN" w:bidi="ar"/>
        </w:rPr>
        <w:t>社会调查报告</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 xml:space="preserve">题   </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目：</w:t>
      </w:r>
      <w:r>
        <w:rPr>
          <w:rFonts w:ascii="宋体" w:hAnsi="宋体" w:cs="宋体"/>
          <w:b/>
          <w:kern w:val="0"/>
          <w:sz w:val="24"/>
          <w:szCs w:val="24"/>
          <w:u w:val="single"/>
          <w:shd w:val="clear" w:color="auto" w:fill="FFFFFF"/>
          <w:lang w:val="en-US" w:eastAsia="zh-CN" w:bidi="ar"/>
        </w:rPr>
        <w:t xml:space="preserve">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学     校：</w:t>
      </w:r>
      <w:r>
        <w:rPr>
          <w:rFonts w:ascii="宋体" w:hAnsi="宋体" w:cs="宋体"/>
          <w:b/>
          <w:kern w:val="0"/>
          <w:sz w:val="24"/>
          <w:szCs w:val="24"/>
          <w:u w:val="single"/>
          <w:shd w:val="clear" w:color="auto" w:fill="FFFFFF"/>
          <w:lang w:val="en-US" w:eastAsia="zh-CN" w:bidi="ar"/>
        </w:rPr>
        <w:t xml:space="preserve">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学     院：</w:t>
      </w:r>
      <w:r>
        <w:rPr>
          <w:rFonts w:ascii="宋体" w:hAnsi="宋体" w:cs="宋体"/>
          <w:b/>
          <w:kern w:val="0"/>
          <w:sz w:val="24"/>
          <w:szCs w:val="24"/>
          <w:u w:val="single"/>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专     业：</w:t>
      </w:r>
      <w:r>
        <w:rPr>
          <w:rFonts w:ascii="宋体" w:hAnsi="宋体" w:cs="宋体"/>
          <w:b/>
          <w:kern w:val="0"/>
          <w:sz w:val="24"/>
          <w:szCs w:val="24"/>
          <w:u w:val="single"/>
          <w:shd w:val="clear" w:color="auto" w:fill="FFFFFF"/>
          <w:lang w:val="en-US" w:eastAsia="zh-CN" w:bidi="ar"/>
        </w:rPr>
        <w:t xml:space="preserve">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班     级</w:t>
      </w:r>
      <w:r>
        <w:rPr>
          <w:rFonts w:hint="eastAsia" w:ascii="宋体" w:hAnsi="宋体" w:cs="宋体"/>
          <w:b/>
          <w:kern w:val="0"/>
          <w:sz w:val="24"/>
          <w:szCs w:val="24"/>
          <w:shd w:val="clear" w:color="auto" w:fill="FFFFFF"/>
          <w:lang w:val="en-US" w:eastAsia="zh-CN" w:bidi="ar"/>
        </w:rPr>
        <w:t>：</w:t>
      </w:r>
      <w:r>
        <w:rPr>
          <w:rFonts w:ascii="宋体" w:hAnsi="宋体" w:cs="宋体"/>
          <w:b/>
          <w:kern w:val="0"/>
          <w:sz w:val="24"/>
          <w:szCs w:val="24"/>
          <w:u w:val="single"/>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组</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长</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姓</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名：</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u w:val="single"/>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调</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查</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地</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点：</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u w:val="single"/>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r>
        <w:rPr>
          <w:rFonts w:ascii="宋体" w:hAnsi="宋体" w:cs="宋体"/>
          <w:b/>
          <w:kern w:val="0"/>
          <w:sz w:val="24"/>
          <w:szCs w:val="24"/>
          <w:shd w:val="clear" w:color="auto" w:fill="FFFFFF"/>
          <w:lang w:val="en-US" w:eastAsia="zh-CN" w:bidi="ar"/>
        </w:rPr>
        <w:t>指</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导</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教</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师：</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u w:val="single"/>
          <w:shd w:val="clear" w:color="auto" w:fill="FFFFFF"/>
          <w:lang w:val="en-US" w:eastAsia="zh-CN" w:bidi="ar"/>
        </w:rPr>
        <w:t xml:space="preserve">              </w:t>
      </w: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tbl>
      <w:tblPr>
        <w:tblStyle w:val="3"/>
        <w:tblW w:w="973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80"/>
        <w:gridCol w:w="775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1326" w:hRule="atLeast"/>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一、小组成员名单、学号及任务分工情况（如搜集资料者、问卷设计者、问卷调查者、PPT制作者、拍照录像者、调查报告撰写者等）</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xml:space="preserve">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6663" w:hRule="atLeast"/>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xml:space="preserve">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二、调查的时间进程（包括确定调查题目、设计调查问卷、发放并回收调查问卷、统计并分析调查结果、撰写报告报告的时间进度情况）</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100" w:beforeAutospacing="1" w:after="100" w:afterAutospacing="1"/>
              <w:ind w:left="0" w:right="0"/>
              <w:jc w:val="left"/>
            </w:pPr>
            <w:r>
              <w:rPr>
                <w:rFonts w:ascii="宋体" w:hAnsi="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11358" w:hRule="atLeast"/>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三、问卷调查表（或访谈主要内容）（原始材料附后）</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11670" w:hRule="atLeast"/>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xml:space="preserve">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四、调查分析和总结（</w:t>
            </w:r>
            <w:r>
              <w:rPr>
                <w:rFonts w:hint="eastAsia" w:ascii="宋体" w:hAnsi="宋体" w:cs="宋体"/>
                <w:kern w:val="0"/>
                <w:sz w:val="24"/>
                <w:szCs w:val="24"/>
                <w:lang w:val="en-US" w:eastAsia="zh-CN" w:bidi="ar"/>
              </w:rPr>
              <w:t>3</w:t>
            </w:r>
            <w:r>
              <w:rPr>
                <w:rFonts w:ascii="宋体" w:hAnsi="宋体" w:cs="宋体"/>
                <w:kern w:val="0"/>
                <w:sz w:val="24"/>
                <w:szCs w:val="24"/>
                <w:lang w:val="en-US" w:eastAsia="zh-CN" w:bidi="ar"/>
              </w:rPr>
              <w:t>000字</w:t>
            </w:r>
            <w:r>
              <w:rPr>
                <w:rFonts w:hint="eastAsia" w:ascii="宋体" w:hAnsi="宋体" w:cs="宋体"/>
                <w:kern w:val="0"/>
                <w:sz w:val="24"/>
                <w:szCs w:val="24"/>
                <w:lang w:val="en-US" w:eastAsia="zh-CN" w:bidi="ar"/>
              </w:rPr>
              <w:t>左右</w:t>
            </w:r>
            <w:r>
              <w:rPr>
                <w:rFonts w:ascii="宋体" w:hAnsi="宋体" w:cs="宋体"/>
                <w:kern w:val="0"/>
                <w:sz w:val="24"/>
                <w:szCs w:val="24"/>
                <w:lang w:val="en-US" w:eastAsia="zh-CN" w:bidi="ar"/>
              </w:rPr>
              <w:t>）</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2010" w:hRule="atLeast"/>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五、小组长对本组调查情况的自我鉴定</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xml:space="preserve">                                     </w:t>
            </w:r>
          </w:p>
          <w:p>
            <w:pPr>
              <w:keepNext w:val="0"/>
              <w:keepLines w:val="0"/>
              <w:widowControl/>
              <w:suppressLineNumbers w:val="0"/>
              <w:spacing w:before="0" w:beforeAutospacing="0" w:after="0" w:afterAutospacing="0"/>
              <w:ind w:left="0" w:right="0" w:firstLine="4920" w:firstLineChars="2050"/>
              <w:jc w:val="left"/>
            </w:pPr>
            <w:r>
              <w:rPr>
                <w:rFonts w:ascii="宋体" w:hAnsi="宋体" w:cs="宋体"/>
                <w:kern w:val="0"/>
                <w:sz w:val="24"/>
                <w:szCs w:val="24"/>
                <w:lang w:val="en-US" w:eastAsia="zh-CN" w:bidi="ar"/>
              </w:rPr>
              <w:t>签名：</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firstLine="4800" w:firstLineChars="2000"/>
              <w:jc w:val="left"/>
            </w:pPr>
            <w:r>
              <w:rPr>
                <w:rFonts w:ascii="宋体" w:hAnsi="宋体" w:cs="宋体"/>
                <w:kern w:val="0"/>
                <w:sz w:val="24"/>
                <w:szCs w:val="24"/>
                <w:lang w:val="en-US" w:eastAsia="zh-CN" w:bidi="ar"/>
              </w:rPr>
              <w:t xml:space="preserve">年   月   日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四、指导方式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概论课”教研室的任课教师在第三周向各班传达此实践方案。要求各班同学必须在任课教师指导下按时完成实践课作业并将相关材料交到学习委员处，不交者将没有实践学分。学习委员收齐后装入班级档案袋交给任课教师，任课教师评定成绩后将各班档案袋报送至马克思主义学院刘正丽老师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《毛泽东思想和中国特色社会主义理论体系概论》教研室</w:t>
      </w:r>
      <w:r>
        <w:rPr>
          <w:rFonts w:hint="eastAsia" w:ascii="宋体" w:hAnsi="宋体" w:eastAsia="宋体" w:cs="宋体"/>
          <w:sz w:val="24"/>
          <w:szCs w:val="24"/>
          <w:lang w:val="en-US" w:eastAsia="zh-CN"/>
        </w:rPr>
        <w:t xml:space="preserve">   2018年3月20日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11962"/>
    <w:rsid w:val="33511962"/>
    <w:rsid w:val="471A4CE8"/>
    <w:rsid w:val="595927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2018-03-26T12:34:00Z</dcterms:created>
  <dc:creator>高山流水</dc:creator>
  <cp:lastModifiedBy>sy</cp:lastModifiedBy>
  <dcterms:modified xsi:type="dcterms:W3CDTF">2018-03-28T02:42:55Z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